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C2" w:rsidRPr="008D1414" w:rsidRDefault="005878C2" w:rsidP="005878C2">
      <w:pPr>
        <w:pStyle w:val="a3"/>
        <w:spacing w:line="360" w:lineRule="auto"/>
        <w:rPr>
          <w:b/>
        </w:rPr>
      </w:pPr>
    </w:p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5878C2" w:rsidRPr="00BD25B4" w:rsidTr="00312856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5878C2" w:rsidRPr="00BD25B4" w:rsidRDefault="005878C2" w:rsidP="00312856">
            <w:pPr>
              <w:pStyle w:val="a6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5878C2" w:rsidRPr="00BD25B4" w:rsidRDefault="005878C2" w:rsidP="0031285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5878C2" w:rsidRDefault="005878C2" w:rsidP="005878C2">
      <w:pPr>
        <w:pStyle w:val="a6"/>
        <w:rPr>
          <w:b/>
          <w:sz w:val="28"/>
          <w:szCs w:val="28"/>
          <w:lang w:val="en-US"/>
        </w:rPr>
      </w:pPr>
    </w:p>
    <w:p w:rsidR="005878C2" w:rsidRPr="00A359FF" w:rsidRDefault="005878C2" w:rsidP="005878C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83B85">
        <w:rPr>
          <w:b/>
          <w:sz w:val="28"/>
          <w:szCs w:val="28"/>
        </w:rPr>
        <w:t xml:space="preserve">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</w:t>
      </w:r>
      <w:r w:rsidRPr="00083B85">
        <w:rPr>
          <w:b/>
          <w:sz w:val="28"/>
          <w:szCs w:val="28"/>
        </w:rPr>
        <w:t xml:space="preserve">     </w:t>
      </w:r>
      <w:r w:rsidRPr="00BD25B4">
        <w:rPr>
          <w:b/>
          <w:sz w:val="28"/>
          <w:szCs w:val="28"/>
        </w:rPr>
        <w:t xml:space="preserve">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5878C2" w:rsidRDefault="005878C2" w:rsidP="005878C2">
      <w:pPr>
        <w:pStyle w:val="a6"/>
        <w:rPr>
          <w:sz w:val="28"/>
          <w:szCs w:val="28"/>
        </w:rPr>
      </w:pPr>
      <w:r w:rsidRPr="00190272">
        <w:rPr>
          <w:rFonts w:ascii="Times New Roman" w:hAnsi="Times New Roman"/>
          <w:sz w:val="28"/>
          <w:szCs w:val="28"/>
        </w:rPr>
        <w:t xml:space="preserve">        </w:t>
      </w:r>
    </w:p>
    <w:p w:rsidR="005878C2" w:rsidRPr="00503804" w:rsidRDefault="005878C2" w:rsidP="005878C2">
      <w:pPr>
        <w:pStyle w:val="3"/>
        <w:jc w:val="center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</w:t>
      </w:r>
      <w:r>
        <w:rPr>
          <w:sz w:val="28"/>
          <w:szCs w:val="28"/>
        </w:rPr>
        <w:t xml:space="preserve"> НОВОЗИРГАНСКИЙ </w:t>
      </w:r>
      <w:r w:rsidRPr="00503804">
        <w:rPr>
          <w:sz w:val="28"/>
          <w:szCs w:val="28"/>
        </w:rPr>
        <w:t xml:space="preserve"> СЕЛЬСОВЕТ   МУНИЦИПАЛЬНОГО РАЙОНА ХАЙБУЛЛИНСКИЙ РАЙОН РЕСПУБЛИКИ БАШКОРТОСТАН  НА 201</w:t>
      </w:r>
      <w:r>
        <w:rPr>
          <w:sz w:val="28"/>
          <w:szCs w:val="28"/>
        </w:rPr>
        <w:t>8</w:t>
      </w:r>
      <w:r w:rsidRPr="00503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proofErr w:type="gramStart"/>
      <w:r w:rsidRPr="00503804">
        <w:rPr>
          <w:sz w:val="28"/>
          <w:szCs w:val="28"/>
        </w:rPr>
        <w:t xml:space="preserve"> И</w:t>
      </w:r>
      <w:proofErr w:type="gramEnd"/>
      <w:r w:rsidRPr="005038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3804">
        <w:rPr>
          <w:sz w:val="28"/>
          <w:szCs w:val="28"/>
        </w:rPr>
        <w:t xml:space="preserve"> ГОДОВ»</w:t>
      </w:r>
    </w:p>
    <w:p w:rsidR="005878C2" w:rsidRPr="00503804" w:rsidRDefault="005878C2" w:rsidP="005878C2">
      <w:r w:rsidRPr="00503804">
        <w:tab/>
      </w:r>
    </w:p>
    <w:p w:rsidR="005878C2" w:rsidRPr="00D25992" w:rsidRDefault="005878C2" w:rsidP="005878C2">
      <w:pPr>
        <w:pStyle w:val="4"/>
        <w:spacing w:line="240" w:lineRule="auto"/>
        <w:jc w:val="both"/>
        <w:rPr>
          <w:b w:val="0"/>
          <w:sz w:val="28"/>
        </w:rPr>
      </w:pPr>
      <w:r w:rsidRPr="00D25992">
        <w:rPr>
          <w:b w:val="0"/>
          <w:sz w:val="28"/>
        </w:rPr>
        <w:t>Руководствуясь Бюджетным кодексом Российской Федерации, Уставом</w:t>
      </w:r>
      <w:r>
        <w:rPr>
          <w:b w:val="0"/>
          <w:sz w:val="28"/>
        </w:rPr>
        <w:t xml:space="preserve"> сельского поселения Новозирганский</w:t>
      </w:r>
      <w:r w:rsidRPr="00D25992">
        <w:rPr>
          <w:b w:val="0"/>
          <w:sz w:val="28"/>
        </w:rPr>
        <w:t xml:space="preserve"> сельсовет муниципального района Хайбуллинский район Республики Башкортостан Совет  сельского поселения </w:t>
      </w:r>
      <w:r>
        <w:rPr>
          <w:b w:val="0"/>
          <w:sz w:val="28"/>
        </w:rPr>
        <w:t>Новозирганский</w:t>
      </w:r>
      <w:r w:rsidRPr="00D25992">
        <w:rPr>
          <w:b w:val="0"/>
          <w:sz w:val="28"/>
        </w:rPr>
        <w:t xml:space="preserve">  сельсовет  муниципального района Хайбуллинский район Республики Башкортостан решил:</w:t>
      </w:r>
    </w:p>
    <w:p w:rsidR="005878C2" w:rsidRDefault="005878C2" w:rsidP="005878C2">
      <w:pPr>
        <w:rPr>
          <w:b/>
        </w:rPr>
      </w:pPr>
    </w:p>
    <w:p w:rsidR="005878C2" w:rsidRPr="006E4810" w:rsidRDefault="005878C2" w:rsidP="005878C2">
      <w:pPr>
        <w:rPr>
          <w:b/>
        </w:rPr>
      </w:pPr>
      <w:r w:rsidRPr="006E4810">
        <w:rPr>
          <w:b/>
        </w:rPr>
        <w:t>Статья 1</w:t>
      </w:r>
    </w:p>
    <w:p w:rsidR="005878C2" w:rsidRPr="00323E5E" w:rsidRDefault="005878C2" w:rsidP="005878C2">
      <w:pPr>
        <w:ind w:right="0"/>
      </w:pPr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r w:rsidRPr="00894ABD">
        <w:t xml:space="preserve">Новозирганский </w:t>
      </w:r>
      <w:r>
        <w:t xml:space="preserve"> </w:t>
      </w:r>
      <w:r w:rsidRPr="00323E5E">
        <w:t>сельсовет муниципального района Хайбуллинский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2018</w:t>
      </w:r>
      <w:r w:rsidRPr="00323E5E">
        <w:t xml:space="preserve"> год:</w:t>
      </w:r>
    </w:p>
    <w:p w:rsidR="005878C2" w:rsidRPr="00323E5E" w:rsidRDefault="005878C2" w:rsidP="005878C2">
      <w:pPr>
        <w:ind w:firstLine="284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в сумме 2316,0 </w:t>
      </w:r>
      <w:r w:rsidRPr="00323E5E">
        <w:t>тыс. рублей;</w:t>
      </w:r>
    </w:p>
    <w:p w:rsidR="005878C2" w:rsidRDefault="005878C2" w:rsidP="005878C2">
      <w:pPr>
        <w:ind w:firstLine="284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в сумме</w:t>
      </w:r>
      <w:r>
        <w:t xml:space="preserve"> 2316,0 </w:t>
      </w:r>
      <w:r w:rsidRPr="00323E5E">
        <w:t xml:space="preserve">тыс. рублей. </w:t>
      </w:r>
    </w:p>
    <w:p w:rsidR="005878C2" w:rsidRDefault="005878C2" w:rsidP="005878C2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5878C2" w:rsidRPr="00323E5E" w:rsidRDefault="005878C2" w:rsidP="005878C2">
      <w:pPr>
        <w:ind w:right="0"/>
      </w:pPr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годов:</w:t>
      </w:r>
    </w:p>
    <w:p w:rsidR="005878C2" w:rsidRPr="00323E5E" w:rsidRDefault="005878C2" w:rsidP="005878C2">
      <w:pPr>
        <w:ind w:firstLine="284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 xml:space="preserve">2019 год в сумме 2277,8 </w:t>
      </w:r>
      <w:r w:rsidRPr="00323E5E">
        <w:t xml:space="preserve">тыс. рублей и </w:t>
      </w:r>
      <w:r>
        <w:t>2020</w:t>
      </w:r>
      <w:r w:rsidRPr="00323E5E">
        <w:t xml:space="preserve"> год в сумме </w:t>
      </w:r>
      <w:r>
        <w:t>2300,0</w:t>
      </w:r>
      <w:r w:rsidRPr="00323E5E">
        <w:t xml:space="preserve"> тыс. рублей;</w:t>
      </w:r>
    </w:p>
    <w:p w:rsidR="005878C2" w:rsidRDefault="005878C2" w:rsidP="005878C2">
      <w:pPr>
        <w:ind w:firstLine="284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 xml:space="preserve">2019 года в сумме 2277,8 </w:t>
      </w:r>
      <w:r w:rsidRPr="00323E5E">
        <w:t>тыс. рублей</w:t>
      </w:r>
      <w:r>
        <w:t xml:space="preserve">, </w:t>
      </w:r>
      <w:r w:rsidRPr="00323E5E">
        <w:t xml:space="preserve"> </w:t>
      </w:r>
      <w:r>
        <w:t xml:space="preserve"> в том числе условно утверждаемые расходы в сумме 40,0 тыс. рублей </w:t>
      </w:r>
      <w:r w:rsidRPr="00323E5E">
        <w:t xml:space="preserve">и </w:t>
      </w:r>
      <w:r>
        <w:t xml:space="preserve">2020 год в сумме 2300,0 </w:t>
      </w:r>
      <w:r w:rsidRPr="00323E5E">
        <w:t>тыс. рублей</w:t>
      </w:r>
      <w:r>
        <w:t>, в том числе условно утверждаемые расходы в сумме 79,0 тыс. рублей</w:t>
      </w:r>
      <w:r w:rsidRPr="00323E5E">
        <w:t>.</w:t>
      </w:r>
    </w:p>
    <w:p w:rsidR="005878C2" w:rsidRPr="00323E5E" w:rsidRDefault="005878C2" w:rsidP="005878C2">
      <w:pPr>
        <w:ind w:firstLine="284"/>
      </w:pPr>
      <w:r>
        <w:t>3)</w:t>
      </w:r>
      <w:r>
        <w:tab/>
        <w:t>дефицит бюджета сельского поселения на 2019 год в сумме 0,0 тыс. рублей и на 2020 год в сумме 0,0 тыс. рублей.</w:t>
      </w:r>
    </w:p>
    <w:p w:rsidR="005878C2" w:rsidRDefault="005878C2" w:rsidP="005878C2">
      <w:pPr>
        <w:rPr>
          <w:b/>
        </w:rPr>
      </w:pPr>
    </w:p>
    <w:p w:rsidR="005878C2" w:rsidRPr="006E4810" w:rsidRDefault="005878C2" w:rsidP="005878C2">
      <w:pPr>
        <w:rPr>
          <w:b/>
        </w:rPr>
      </w:pPr>
      <w:r w:rsidRPr="006E4810">
        <w:rPr>
          <w:b/>
        </w:rPr>
        <w:t>Статья 2</w:t>
      </w:r>
    </w:p>
    <w:p w:rsidR="005878C2" w:rsidRDefault="005878C2" w:rsidP="005878C2">
      <w:pPr>
        <w:ind w:right="0"/>
      </w:pPr>
      <w:r w:rsidRPr="006E4810">
        <w:t>1.</w:t>
      </w:r>
      <w:r>
        <w:t xml:space="preserve"> </w:t>
      </w:r>
      <w:r w:rsidRPr="00323E5E">
        <w:t>Утвердить перечень главных администраторов доходов бюджета сельского поселения</w:t>
      </w:r>
      <w:r>
        <w:t xml:space="preserve"> </w:t>
      </w:r>
      <w:r w:rsidRPr="00894ABD">
        <w:t>Новозирганский</w:t>
      </w:r>
      <w:r>
        <w:t xml:space="preserve">  </w:t>
      </w:r>
      <w:r w:rsidRPr="00323E5E">
        <w:t xml:space="preserve">сельсовет муниципального района Хайбуллинский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5878C2" w:rsidRDefault="005878C2" w:rsidP="005878C2">
      <w:pPr>
        <w:ind w:right="-6"/>
      </w:pPr>
      <w:r>
        <w:lastRenderedPageBreak/>
        <w:t xml:space="preserve">2. </w:t>
      </w:r>
      <w:r w:rsidRPr="006E4810">
        <w:t xml:space="preserve">Утвердить перечень главных </w:t>
      </w:r>
      <w:proofErr w:type="gramStart"/>
      <w:r w:rsidRPr="006E4810">
        <w:t>администраторов источников</w:t>
      </w:r>
      <w:r w:rsidRPr="00323E5E">
        <w:t xml:space="preserve"> финансирования дефицита бюджета сельского поселения</w:t>
      </w:r>
      <w:proofErr w:type="gramEnd"/>
      <w:r>
        <w:t xml:space="preserve"> </w:t>
      </w:r>
      <w:r w:rsidRPr="00894ABD">
        <w:t>Новозирганский</w:t>
      </w:r>
      <w:r>
        <w:t xml:space="preserve">  </w:t>
      </w:r>
      <w:r w:rsidRPr="00323E5E">
        <w:t xml:space="preserve">сельсовет муниципального района Хайбуллинский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5878C2" w:rsidRDefault="005878C2" w:rsidP="005878C2"/>
    <w:p w:rsidR="005878C2" w:rsidRPr="00CE6195" w:rsidRDefault="005878C2" w:rsidP="005878C2">
      <w:pPr>
        <w:rPr>
          <w:b/>
        </w:rPr>
      </w:pPr>
      <w:r w:rsidRPr="00CE6195">
        <w:rPr>
          <w:b/>
        </w:rPr>
        <w:t>Статья 3</w:t>
      </w:r>
    </w:p>
    <w:p w:rsidR="005878C2" w:rsidRPr="00323E5E" w:rsidRDefault="005878C2" w:rsidP="005878C2">
      <w:r>
        <w:t xml:space="preserve">1. </w:t>
      </w:r>
      <w:r w:rsidRPr="00323E5E">
        <w:t>Установить поступления доходов в бюджет сельского поселения:</w:t>
      </w:r>
    </w:p>
    <w:p w:rsidR="005878C2" w:rsidRPr="00323E5E" w:rsidRDefault="005878C2" w:rsidP="005878C2">
      <w:pPr>
        <w:ind w:firstLine="284"/>
      </w:pPr>
      <w:r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2018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5878C2" w:rsidRDefault="005878C2" w:rsidP="005878C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5878C2" w:rsidRDefault="005878C2" w:rsidP="005878C2">
      <w:pPr>
        <w:ind w:firstLine="284"/>
      </w:pPr>
      <w:r>
        <w:t xml:space="preserve">2. Утвердить </w:t>
      </w:r>
      <w:r w:rsidRPr="00323E5E">
        <w:t>объем межбюджетных трансфертов</w:t>
      </w:r>
      <w:r>
        <w:t xml:space="preserve">, </w:t>
      </w:r>
      <w:proofErr w:type="spellStart"/>
      <w:r>
        <w:t>поступаемых</w:t>
      </w:r>
      <w:proofErr w:type="spellEnd"/>
      <w:r>
        <w:t xml:space="preserve"> </w:t>
      </w:r>
      <w:r w:rsidRPr="00323E5E">
        <w:t xml:space="preserve"> из бюджета муниципального района Хайбуллинский район Республики Башкортостан</w:t>
      </w:r>
      <w:r>
        <w:t>:</w:t>
      </w:r>
    </w:p>
    <w:p w:rsidR="005878C2" w:rsidRPr="00BA2DEF" w:rsidRDefault="005878C2" w:rsidP="005878C2">
      <w:pPr>
        <w:ind w:firstLine="284"/>
        <w:rPr>
          <w:color w:val="9933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>201</w:t>
      </w:r>
      <w:r>
        <w:t>8</w:t>
      </w:r>
      <w:r w:rsidRPr="00BA2DEF">
        <w:t xml:space="preserve"> году в </w:t>
      </w:r>
      <w:r>
        <w:t>сумме 76,0</w:t>
      </w:r>
      <w:r w:rsidRPr="00BA2DEF">
        <w:t xml:space="preserve"> тыс. рублей</w:t>
      </w:r>
      <w:r>
        <w:t xml:space="preserve">, в 2019 году в сумме 77,8 тыс. рублей, в 2020 году в сумме </w:t>
      </w:r>
      <w:r w:rsidRPr="00894ABD">
        <w:rPr>
          <w:color w:val="000000"/>
        </w:rPr>
        <w:t>81,0</w:t>
      </w:r>
      <w:r>
        <w:t xml:space="preserve"> тыс. рублей;</w:t>
      </w:r>
      <w:r w:rsidRPr="00BA2DEF">
        <w:t xml:space="preserve"> </w:t>
      </w:r>
    </w:p>
    <w:p w:rsidR="005878C2" w:rsidRPr="00894ABD" w:rsidRDefault="005878C2" w:rsidP="005878C2">
      <w:pPr>
        <w:ind w:firstLine="284"/>
        <w:rPr>
          <w:color w:val="000000"/>
        </w:rPr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201</w:t>
      </w:r>
      <w:r>
        <w:t>8</w:t>
      </w:r>
      <w:r w:rsidRPr="00BA2DEF">
        <w:t xml:space="preserve"> году в </w:t>
      </w:r>
      <w:r>
        <w:t xml:space="preserve">сумме 100,0 тыс. рублей,  </w:t>
      </w:r>
      <w:r w:rsidRPr="00894ABD">
        <w:rPr>
          <w:color w:val="000000"/>
        </w:rPr>
        <w:t>в 2019 году в сумме 70,0 тыс. рублей, в 2020 году в сумме 70,0 тыс. рублей.</w:t>
      </w:r>
    </w:p>
    <w:p w:rsidR="005878C2" w:rsidRPr="00BA2DEF" w:rsidRDefault="005878C2" w:rsidP="005878C2">
      <w:pPr>
        <w:ind w:firstLine="284"/>
      </w:pPr>
    </w:p>
    <w:p w:rsidR="005878C2" w:rsidRPr="00B555FC" w:rsidRDefault="005878C2" w:rsidP="005878C2">
      <w:pPr>
        <w:rPr>
          <w:b/>
          <w:color w:val="FF0000"/>
        </w:rPr>
      </w:pPr>
    </w:p>
    <w:p w:rsidR="005878C2" w:rsidRPr="00A70FD3" w:rsidRDefault="005878C2" w:rsidP="005878C2">
      <w:pPr>
        <w:rPr>
          <w:b/>
        </w:rPr>
      </w:pPr>
      <w:r w:rsidRPr="00A70FD3">
        <w:rPr>
          <w:b/>
        </w:rPr>
        <w:t>Статья 4</w:t>
      </w:r>
    </w:p>
    <w:p w:rsidR="005878C2" w:rsidRDefault="005878C2" w:rsidP="005878C2">
      <w:pPr>
        <w:ind w:firstLine="284"/>
      </w:pPr>
      <w:r w:rsidRPr="00A70FD3">
        <w:t>1.</w:t>
      </w:r>
      <w:r w:rsidRPr="00A70FD3"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Pr="00894ABD">
        <w:t>Новозирганский</w:t>
      </w:r>
      <w:r w:rsidRPr="00A70FD3">
        <w:t xml:space="preserve"> сельсовет муниципального района Хайбуллинский район Республики Башкортостан</w:t>
      </w:r>
      <w:r>
        <w:t>:</w:t>
      </w:r>
    </w:p>
    <w:p w:rsidR="005878C2" w:rsidRPr="00323E5E" w:rsidRDefault="005878C2" w:rsidP="005878C2">
      <w:pPr>
        <w:ind w:firstLine="284"/>
      </w:pPr>
      <w:r>
        <w:t>1.</w:t>
      </w:r>
      <w:r>
        <w:tab/>
        <w:t xml:space="preserve">по разделам и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 видов расходов классификации расходов:</w:t>
      </w:r>
    </w:p>
    <w:p w:rsidR="005878C2" w:rsidRPr="00323E5E" w:rsidRDefault="005878C2" w:rsidP="005878C2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5 к настоящему Решению</w:t>
      </w:r>
      <w:r>
        <w:t>;</w:t>
      </w:r>
    </w:p>
    <w:p w:rsidR="005878C2" w:rsidRPr="00323E5E" w:rsidRDefault="005878C2" w:rsidP="005878C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6 к настоящему Решению.</w:t>
      </w:r>
    </w:p>
    <w:p w:rsidR="005878C2" w:rsidRPr="00323E5E" w:rsidRDefault="005878C2" w:rsidP="005878C2">
      <w:pPr>
        <w:ind w:firstLine="284"/>
      </w:pPr>
      <w:r>
        <w:t>2.</w:t>
      </w:r>
      <w:r>
        <w:tab/>
      </w:r>
      <w:r w:rsidRPr="00323E5E">
        <w:t xml:space="preserve"> ведомственную структуру расходов бюджета сельского поселения:</w:t>
      </w:r>
    </w:p>
    <w:p w:rsidR="005878C2" w:rsidRPr="00323E5E" w:rsidRDefault="005878C2" w:rsidP="005878C2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7 к настоящему Решению.</w:t>
      </w:r>
    </w:p>
    <w:p w:rsidR="005878C2" w:rsidRDefault="005878C2" w:rsidP="005878C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8 к настоящему Решению.</w:t>
      </w:r>
    </w:p>
    <w:p w:rsidR="005878C2" w:rsidRDefault="005878C2" w:rsidP="005878C2">
      <w:pPr>
        <w:ind w:firstLine="284"/>
      </w:pPr>
      <w:r>
        <w:t xml:space="preserve">3.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классификации расходов бюджетов:</w:t>
      </w:r>
    </w:p>
    <w:p w:rsidR="005878C2" w:rsidRPr="00323E5E" w:rsidRDefault="005878C2" w:rsidP="005878C2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5878C2" w:rsidRDefault="005878C2" w:rsidP="005878C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5878C2" w:rsidRDefault="005878C2" w:rsidP="005878C2">
      <w:pPr>
        <w:ind w:firstLine="284"/>
      </w:pPr>
      <w:r>
        <w:t xml:space="preserve">4. Утвердить объём резервного фонда Администрации сельского поселения </w:t>
      </w:r>
      <w:r w:rsidRPr="00894ABD">
        <w:t>Новозирганский</w:t>
      </w:r>
      <w:r>
        <w:t xml:space="preserve"> сельсовет </w:t>
      </w:r>
      <w:r w:rsidRPr="00323E5E">
        <w:t xml:space="preserve">муниципального района Хайбуллинский район </w:t>
      </w:r>
      <w:r>
        <w:t>Республики Башкортостан на 2018 год в сумме 10,0 тыс. рублей, на 2019 год в сумме 10,0 тыс. рублей и на 2020 год  в сумме 10,0 тыс. рублей.</w:t>
      </w:r>
    </w:p>
    <w:p w:rsidR="005878C2" w:rsidRDefault="005878C2" w:rsidP="005878C2">
      <w:pPr>
        <w:rPr>
          <w:b/>
        </w:rPr>
      </w:pPr>
    </w:p>
    <w:p w:rsidR="005878C2" w:rsidRDefault="005878C2" w:rsidP="005878C2">
      <w:pPr>
        <w:rPr>
          <w:b/>
        </w:rPr>
      </w:pPr>
    </w:p>
    <w:p w:rsidR="005878C2" w:rsidRPr="00CE6195" w:rsidRDefault="005878C2" w:rsidP="005878C2">
      <w:pPr>
        <w:rPr>
          <w:b/>
        </w:rPr>
      </w:pPr>
      <w:r w:rsidRPr="00CE6195">
        <w:rPr>
          <w:b/>
        </w:rPr>
        <w:lastRenderedPageBreak/>
        <w:t xml:space="preserve">Статья </w:t>
      </w:r>
      <w:r>
        <w:rPr>
          <w:b/>
        </w:rPr>
        <w:t>5</w:t>
      </w:r>
    </w:p>
    <w:p w:rsidR="005878C2" w:rsidRPr="00F33D0D" w:rsidRDefault="005878C2" w:rsidP="005878C2">
      <w:pPr>
        <w:ind w:firstLine="284"/>
      </w:pPr>
      <w:r>
        <w:t>1.</w:t>
      </w:r>
      <w:r>
        <w:tab/>
      </w:r>
      <w:proofErr w:type="gramStart"/>
      <w:r w:rsidRPr="00F33D0D">
        <w:t>Установить, что решения и иные нормативные правовые акты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2018 год</w:t>
      </w:r>
      <w:r w:rsidRPr="00F33D0D">
        <w:t xml:space="preserve">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5878C2" w:rsidRPr="00F33D0D" w:rsidRDefault="005878C2" w:rsidP="005878C2">
      <w:pPr>
        <w:ind w:firstLine="284"/>
      </w:pPr>
      <w:r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t>2018</w:t>
      </w:r>
      <w:r w:rsidRPr="00F33D0D">
        <w:t xml:space="preserve"> год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878C2" w:rsidRDefault="005878C2" w:rsidP="005878C2">
      <w:pPr>
        <w:ind w:firstLine="284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2018</w:t>
      </w:r>
      <w:r w:rsidRPr="00F33D0D">
        <w:t>-</w:t>
      </w:r>
      <w:r>
        <w:t>2020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5878C2" w:rsidRDefault="005878C2" w:rsidP="005878C2">
      <w:pPr>
        <w:rPr>
          <w:b/>
        </w:rPr>
      </w:pPr>
    </w:p>
    <w:p w:rsidR="005878C2" w:rsidRPr="00CE6195" w:rsidRDefault="005878C2" w:rsidP="005878C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5878C2" w:rsidRPr="00253CAA" w:rsidRDefault="005878C2" w:rsidP="005878C2">
      <w:pPr>
        <w:ind w:firstLine="284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2018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2019 год в сумме 30,0  тыс</w:t>
      </w:r>
      <w:r w:rsidRPr="00253CAA">
        <w:t>.</w:t>
      </w:r>
      <w:r>
        <w:t xml:space="preserve"> рублей, на 2020 год в сумме 30,0 тыс. рублей.</w:t>
      </w:r>
    </w:p>
    <w:p w:rsidR="005878C2" w:rsidRDefault="005878C2" w:rsidP="005878C2">
      <w:pPr>
        <w:ind w:firstLine="284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2019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2020 года в сумме 0,0 тыс. рублей, на  1 января 2021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5878C2" w:rsidRDefault="005878C2" w:rsidP="005878C2">
      <w:pPr>
        <w:rPr>
          <w:b/>
        </w:rPr>
      </w:pPr>
    </w:p>
    <w:p w:rsidR="005878C2" w:rsidRPr="00CE6195" w:rsidRDefault="005878C2" w:rsidP="005878C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5878C2" w:rsidRPr="00F33D0D" w:rsidRDefault="005878C2" w:rsidP="005878C2"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5878C2" w:rsidRDefault="005878C2" w:rsidP="005878C2"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5878C2" w:rsidRDefault="005878C2" w:rsidP="005878C2">
      <w:r>
        <w:t xml:space="preserve">2) при получении субсидий, субвенций,  дотаций, иных межбюджетных трансфертов и безвозмездных поступлений от физических и юридических лиц, </w:t>
      </w:r>
      <w:r>
        <w:lastRenderedPageBreak/>
        <w:t>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878C2" w:rsidRPr="00F33D0D" w:rsidRDefault="005878C2" w:rsidP="005878C2">
      <w:pPr>
        <w:ind w:firstLine="284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5878C2" w:rsidRPr="00F33D0D" w:rsidRDefault="005878C2" w:rsidP="005878C2">
      <w:pPr>
        <w:ind w:firstLine="284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5878C2" w:rsidRDefault="005878C2" w:rsidP="005878C2">
      <w:pPr>
        <w:ind w:firstLine="284"/>
      </w:pPr>
      <w:r>
        <w:t>5)</w:t>
      </w:r>
      <w:r>
        <w:tab/>
        <w:t>при</w:t>
      </w:r>
      <w:r w:rsidRPr="00F33D0D">
        <w:t xml:space="preserve"> образовани</w:t>
      </w:r>
      <w:r>
        <w:t>и</w:t>
      </w:r>
      <w:r w:rsidRPr="00F33D0D">
        <w:t xml:space="preserve">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5878C2" w:rsidRDefault="005878C2" w:rsidP="005878C2">
      <w:pPr>
        <w:widowControl/>
        <w:ind w:right="0" w:firstLine="540"/>
      </w:pPr>
      <w: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5878C2" w:rsidRDefault="005878C2" w:rsidP="005878C2">
      <w:pPr>
        <w:widowControl/>
        <w:ind w:right="0" w:firstLine="540"/>
      </w:pPr>
      <w:r>
        <w:t>7) на мероприятия, связанные с ликвидацией и преобразованием  органов местного самоуправления;</w:t>
      </w:r>
    </w:p>
    <w:p w:rsidR="005878C2" w:rsidRPr="00F33D0D" w:rsidRDefault="005878C2" w:rsidP="005878C2">
      <w:pPr>
        <w:widowControl/>
        <w:ind w:right="0" w:firstLine="540"/>
      </w:pPr>
      <w: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5878C2" w:rsidRPr="00F33D0D" w:rsidRDefault="005878C2" w:rsidP="005878C2">
      <w:pPr>
        <w:ind w:firstLine="284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2018</w:t>
      </w:r>
      <w:r w:rsidRPr="00F33D0D">
        <w:t xml:space="preserve"> года;</w:t>
      </w:r>
    </w:p>
    <w:p w:rsidR="005878C2" w:rsidRDefault="005878C2" w:rsidP="005878C2">
      <w:pPr>
        <w:ind w:firstLine="284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5878C2" w:rsidRDefault="005878C2" w:rsidP="005878C2"/>
    <w:p w:rsidR="005878C2" w:rsidRPr="00CE6195" w:rsidRDefault="005878C2" w:rsidP="005878C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5878C2" w:rsidRDefault="005878C2" w:rsidP="005878C2">
      <w:r w:rsidRPr="00F33D0D">
        <w:t>Администрации сельского поселения</w:t>
      </w:r>
      <w:r>
        <w:t xml:space="preserve"> </w:t>
      </w:r>
      <w:r w:rsidRPr="00894ABD">
        <w:t>Новозирганский</w:t>
      </w:r>
      <w:r>
        <w:t xml:space="preserve"> </w:t>
      </w:r>
      <w:r w:rsidRPr="00F33D0D">
        <w:t xml:space="preserve">сельсовет муниципального района Хайбуллинский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2018</w:t>
      </w:r>
      <w:r w:rsidRPr="00F33D0D">
        <w:t xml:space="preserve"> год и плановый период </w:t>
      </w:r>
      <w:r>
        <w:t>2019 и 2020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5878C2" w:rsidRDefault="005878C2" w:rsidP="005878C2"/>
    <w:p w:rsidR="005878C2" w:rsidRPr="00CE6195" w:rsidRDefault="005878C2" w:rsidP="005878C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5878C2" w:rsidRDefault="005878C2" w:rsidP="005878C2">
      <w:r w:rsidRPr="00F33D0D">
        <w:t xml:space="preserve">Данное решение вступает в силу с 1 января </w:t>
      </w:r>
      <w:r>
        <w:t>2018</w:t>
      </w:r>
      <w:r w:rsidRPr="00F33D0D">
        <w:t xml:space="preserve"> года</w:t>
      </w:r>
      <w:r>
        <w:t>.</w:t>
      </w:r>
    </w:p>
    <w:p w:rsidR="005878C2" w:rsidRDefault="005878C2" w:rsidP="005878C2">
      <w:r w:rsidRPr="00F33D0D">
        <w:t xml:space="preserve"> </w:t>
      </w:r>
    </w:p>
    <w:p w:rsidR="005878C2" w:rsidRPr="00CE6195" w:rsidRDefault="005878C2" w:rsidP="005878C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5878C2" w:rsidRPr="00F33D0D" w:rsidRDefault="005878C2" w:rsidP="005878C2">
      <w:pPr>
        <w:ind w:right="0"/>
      </w:pPr>
      <w:r w:rsidRPr="00F33D0D">
        <w:t>Данное решение</w:t>
      </w:r>
      <w:r>
        <w:t xml:space="preserve"> опубликовать на официальном сайте сельского поселения </w:t>
      </w:r>
      <w:r w:rsidRPr="00894ABD">
        <w:t>Новозирганский</w:t>
      </w:r>
      <w:r>
        <w:t xml:space="preserve"> сельсовет</w:t>
      </w:r>
      <w:r w:rsidRPr="00F33D0D">
        <w:t xml:space="preserve"> </w:t>
      </w:r>
      <w:r>
        <w:t xml:space="preserve"> </w:t>
      </w:r>
      <w:r w:rsidRPr="00F33D0D">
        <w:t>муниципального района Хайбуллинский район Республики Башкортостан.</w:t>
      </w:r>
    </w:p>
    <w:p w:rsidR="005878C2" w:rsidRDefault="005878C2" w:rsidP="005878C2"/>
    <w:p w:rsidR="005878C2" w:rsidRDefault="005878C2" w:rsidP="005878C2"/>
    <w:p w:rsidR="005878C2" w:rsidRPr="00323E5E" w:rsidRDefault="005878C2" w:rsidP="005878C2">
      <w:r>
        <w:t>Глава с</w:t>
      </w:r>
      <w:r w:rsidRPr="00323E5E">
        <w:t>ельского поселения</w:t>
      </w:r>
    </w:p>
    <w:p w:rsidR="005878C2" w:rsidRDefault="005878C2" w:rsidP="005878C2">
      <w:r w:rsidRPr="00894ABD">
        <w:t>Новозирганский</w:t>
      </w:r>
      <w:r>
        <w:t xml:space="preserve"> </w:t>
      </w:r>
      <w:r w:rsidRPr="00323E5E">
        <w:t>сельсовет</w:t>
      </w:r>
    </w:p>
    <w:p w:rsidR="005878C2" w:rsidRPr="00323E5E" w:rsidRDefault="005878C2" w:rsidP="005878C2">
      <w:r w:rsidRPr="00323E5E">
        <w:t>муниципального района</w:t>
      </w:r>
    </w:p>
    <w:p w:rsidR="005878C2" w:rsidRDefault="005878C2" w:rsidP="005878C2">
      <w:r w:rsidRPr="00323E5E">
        <w:t>Хайбуллинский район</w:t>
      </w:r>
    </w:p>
    <w:p w:rsidR="005878C2" w:rsidRDefault="005878C2" w:rsidP="005878C2">
      <w:r w:rsidRPr="00323E5E">
        <w:t xml:space="preserve">Республики Башкортостан                        </w:t>
      </w:r>
      <w:r>
        <w:t xml:space="preserve">                           Шарипов Х.М.</w:t>
      </w:r>
    </w:p>
    <w:p w:rsidR="005878C2" w:rsidRDefault="005878C2" w:rsidP="005878C2"/>
    <w:p w:rsidR="005878C2" w:rsidRDefault="005878C2" w:rsidP="005878C2">
      <w:r>
        <w:t>с</w:t>
      </w:r>
      <w:proofErr w:type="gramStart"/>
      <w:r>
        <w:t>.Н</w:t>
      </w:r>
      <w:proofErr w:type="gramEnd"/>
      <w:r>
        <w:t>овый Зирган</w:t>
      </w:r>
    </w:p>
    <w:p w:rsidR="005878C2" w:rsidRDefault="005878C2" w:rsidP="005878C2">
      <w:r>
        <w:t xml:space="preserve">№ </w:t>
      </w:r>
      <w:proofErr w:type="gramStart"/>
      <w:r>
        <w:t>Р</w:t>
      </w:r>
      <w:proofErr w:type="gramEnd"/>
      <w:r>
        <w:t>-</w:t>
      </w:r>
      <w:r w:rsidRPr="00744774">
        <w:t xml:space="preserve"> 7</w:t>
      </w:r>
      <w:r>
        <w:t>/75</w:t>
      </w:r>
    </w:p>
    <w:p w:rsidR="005878C2" w:rsidRDefault="005878C2" w:rsidP="005878C2">
      <w:r>
        <w:t xml:space="preserve">от 18 декабря 2017 года </w:t>
      </w:r>
    </w:p>
    <w:p w:rsidR="0070644F" w:rsidRDefault="0070644F"/>
    <w:sectPr w:rsidR="0070644F" w:rsidSect="00744774">
      <w:headerReference w:type="even" r:id="rId5"/>
      <w:headerReference w:type="default" r:id="rId6"/>
      <w:headerReference w:type="first" r:id="rId7"/>
      <w:pgSz w:w="11900" w:h="16820"/>
      <w:pgMar w:top="426" w:right="567" w:bottom="567" w:left="1418" w:header="0" w:footer="0" w:gutter="0"/>
      <w:cols w:space="6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8E" w:rsidRDefault="005878C2" w:rsidP="006E4810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58E" w:rsidRDefault="005878C2" w:rsidP="006E4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7" w:rsidRDefault="005878C2">
    <w:pPr>
      <w:pStyle w:val="a3"/>
    </w:pPr>
  </w:p>
  <w:p w:rsidR="0070658E" w:rsidRDefault="005878C2" w:rsidP="006E48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8E" w:rsidRDefault="005878C2" w:rsidP="006E4810">
    <w:pPr>
      <w:pStyle w:val="a3"/>
    </w:pPr>
    <w:r>
      <w:t xml:space="preserve">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C2"/>
    <w:rsid w:val="00437F11"/>
    <w:rsid w:val="005878C2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2"/>
    <w:pPr>
      <w:widowControl w:val="0"/>
      <w:autoSpaceDE w:val="0"/>
      <w:autoSpaceDN w:val="0"/>
      <w:adjustRightInd w:val="0"/>
      <w:ind w:right="-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78C2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78C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rsid w:val="005878C2"/>
    <w:pPr>
      <w:widowControl/>
      <w:autoSpaceDE/>
      <w:autoSpaceDN/>
      <w:adjustRightInd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5878C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587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78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878C2"/>
  </w:style>
  <w:style w:type="paragraph" w:styleId="a6">
    <w:name w:val="No Spacing"/>
    <w:link w:val="a7"/>
    <w:qFormat/>
    <w:rsid w:val="005878C2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5878C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2017-12-19T09:40:00Z</dcterms:created>
  <dcterms:modified xsi:type="dcterms:W3CDTF">2017-12-19T09:41:00Z</dcterms:modified>
</cp:coreProperties>
</file>